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color w:val="0070C0"/>
          <w:sz w:val="28"/>
          <w:szCs w:val="28"/>
        </w:rPr>
      </w:pPr>
      <w:bookmarkStart w:id="0" w:name="_GoBack"/>
      <w:bookmarkEnd w:id="0"/>
      <w:r>
        <w:rPr>
          <w:rFonts w:hint="eastAsia" w:ascii="黑体" w:hAnsi="黑体" w:eastAsia="黑体" w:cs="黑体"/>
          <w:b/>
          <w:color w:val="0070C0"/>
          <w:sz w:val="28"/>
          <w:szCs w:val="28"/>
        </w:rPr>
        <w:t>地下水科学与工程</w:t>
      </w:r>
    </w:p>
    <w:p>
      <w:pPr>
        <w:jc w:val="center"/>
        <w:rPr>
          <w:rFonts w:ascii="楷体" w:hAnsi="楷体" w:eastAsia="楷体"/>
          <w:b/>
          <w:sz w:val="28"/>
          <w:szCs w:val="28"/>
        </w:rPr>
      </w:pPr>
      <w:r>
        <w:rPr>
          <w:rFonts w:ascii="楷体" w:hAnsi="楷体" w:eastAsia="楷体"/>
          <w:b/>
          <w:sz w:val="28"/>
          <w:szCs w:val="28"/>
        </w:rPr>
        <w:t>专业名片</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2197"/>
        <w:gridCol w:w="1911"/>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47" w:type="dxa"/>
            <w:shd w:val="clear" w:color="auto" w:fill="0070C0"/>
            <w:noWrap/>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专业名称</w:t>
            </w:r>
          </w:p>
        </w:tc>
        <w:tc>
          <w:tcPr>
            <w:tcW w:w="219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hint="eastAsia" w:ascii="Times New Roman" w:hAnsi="Times New Roman" w:eastAsia="楷体" w:cs="Times New Roman"/>
                <w:b/>
                <w:color w:val="0070C0"/>
                <w:sz w:val="24"/>
                <w:szCs w:val="24"/>
              </w:rPr>
              <w:t>地下水科学与工程</w:t>
            </w:r>
          </w:p>
        </w:tc>
        <w:tc>
          <w:tcPr>
            <w:tcW w:w="1911" w:type="dxa"/>
            <w:shd w:val="clear" w:color="auto" w:fill="0070C0"/>
            <w:noWrap/>
            <w:vAlign w:val="center"/>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专业代码</w:t>
            </w:r>
          </w:p>
        </w:tc>
        <w:tc>
          <w:tcPr>
            <w:tcW w:w="196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ascii="Times New Roman" w:hAnsi="Times New Roman" w:eastAsia="楷体" w:cs="Times New Roman"/>
                <w:b/>
                <w:color w:val="0070C0"/>
                <w:sz w:val="24"/>
                <w:szCs w:val="24"/>
              </w:rPr>
              <w:t>081404T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47" w:type="dxa"/>
            <w:shd w:val="clear" w:color="auto" w:fill="0070C0"/>
            <w:noWrap/>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修业年限</w:t>
            </w:r>
          </w:p>
        </w:tc>
        <w:tc>
          <w:tcPr>
            <w:tcW w:w="219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ascii="Times New Roman" w:hAnsi="Times New Roman" w:eastAsia="楷体" w:cs="Times New Roman"/>
                <w:b/>
                <w:color w:val="0070C0"/>
                <w:sz w:val="24"/>
                <w:szCs w:val="24"/>
              </w:rPr>
              <w:t>4年</w:t>
            </w:r>
          </w:p>
        </w:tc>
        <w:tc>
          <w:tcPr>
            <w:tcW w:w="1911" w:type="dxa"/>
            <w:shd w:val="clear" w:color="auto" w:fill="0070C0"/>
            <w:noWrap/>
            <w:vAlign w:val="center"/>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学位授予门类</w:t>
            </w:r>
          </w:p>
        </w:tc>
        <w:tc>
          <w:tcPr>
            <w:tcW w:w="196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ascii="Times New Roman" w:hAnsi="Times New Roman" w:eastAsia="楷体" w:cs="Times New Roman"/>
                <w:b/>
                <w:color w:val="0070C0"/>
                <w:sz w:val="24"/>
                <w:szCs w:val="24"/>
              </w:rPr>
              <w:t>工学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47" w:type="dxa"/>
            <w:shd w:val="clear" w:color="auto" w:fill="0070C0"/>
            <w:noWrap/>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专业设立时间</w:t>
            </w:r>
          </w:p>
        </w:tc>
        <w:tc>
          <w:tcPr>
            <w:tcW w:w="219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ascii="Times New Roman" w:hAnsi="Times New Roman" w:eastAsia="楷体" w:cs="Times New Roman"/>
                <w:b/>
                <w:color w:val="0070C0"/>
                <w:sz w:val="24"/>
                <w:szCs w:val="24"/>
              </w:rPr>
              <w:t>1987</w:t>
            </w:r>
          </w:p>
        </w:tc>
        <w:tc>
          <w:tcPr>
            <w:tcW w:w="1911" w:type="dxa"/>
            <w:shd w:val="clear" w:color="auto" w:fill="0070C0"/>
            <w:noWrap/>
            <w:vAlign w:val="center"/>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所在学院</w:t>
            </w:r>
          </w:p>
        </w:tc>
        <w:tc>
          <w:tcPr>
            <w:tcW w:w="1967" w:type="dxa"/>
            <w:shd w:val="clear" w:color="auto" w:fill="F1F1F1" w:themeFill="background1" w:themeFillShade="F2"/>
            <w:noWrap/>
            <w:vAlign w:val="center"/>
          </w:tcPr>
          <w:p>
            <w:pPr>
              <w:jc w:val="center"/>
              <w:rPr>
                <w:rFonts w:ascii="Times New Roman" w:hAnsi="Times New Roman" w:eastAsia="楷体" w:cs="Times New Roman"/>
                <w:b/>
                <w:color w:val="0070C0"/>
                <w:sz w:val="24"/>
                <w:szCs w:val="24"/>
              </w:rPr>
            </w:pPr>
            <w:r>
              <w:rPr>
                <w:rFonts w:ascii="Times New Roman" w:hAnsi="Times New Roman" w:eastAsia="楷体" w:cs="Times New Roman"/>
                <w:b/>
                <w:color w:val="0070C0"/>
                <w:sz w:val="24"/>
                <w:szCs w:val="24"/>
              </w:rPr>
              <w:t>地质与环境学院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2447" w:type="dxa"/>
            <w:shd w:val="clear" w:color="auto" w:fill="0070C0"/>
            <w:noWrap/>
            <w:vAlign w:val="center"/>
          </w:tcPr>
          <w:p>
            <w:pPr>
              <w:jc w:val="center"/>
              <w:rPr>
                <w:rFonts w:ascii="Times New Roman" w:hAnsi="Times New Roman" w:eastAsia="楷体" w:cs="Times New Roman"/>
                <w:b/>
                <w:color w:val="FFFFFF" w:themeColor="background1"/>
                <w:sz w:val="24"/>
                <w:szCs w:val="24"/>
                <w14:textFill>
                  <w14:solidFill>
                    <w14:schemeClr w14:val="bg1"/>
                  </w14:solidFill>
                </w14:textFill>
              </w:rPr>
            </w:pPr>
            <w:r>
              <w:rPr>
                <w:rFonts w:ascii="Times New Roman" w:hAnsi="Times New Roman" w:eastAsia="楷体" w:cs="Times New Roman"/>
                <w:b/>
                <w:color w:val="FFFFFF" w:themeColor="background1"/>
                <w:sz w:val="24"/>
                <w:szCs w:val="24"/>
                <w14:textFill>
                  <w14:solidFill>
                    <w14:schemeClr w14:val="bg1"/>
                  </w14:solidFill>
                </w14:textFill>
              </w:rPr>
              <w:t>专业</w:t>
            </w:r>
            <w:r>
              <w:rPr>
                <w:rFonts w:hint="eastAsia" w:ascii="Times New Roman" w:hAnsi="Times New Roman" w:eastAsia="楷体" w:cs="Times New Roman"/>
                <w:b/>
                <w:color w:val="FFFFFF" w:themeColor="background1"/>
                <w:sz w:val="24"/>
                <w:szCs w:val="24"/>
                <w14:textFill>
                  <w14:solidFill>
                    <w14:schemeClr w14:val="bg1"/>
                  </w14:solidFill>
                </w14:textFill>
              </w:rPr>
              <w:t>前景</w:t>
            </w:r>
          </w:p>
        </w:tc>
        <w:tc>
          <w:tcPr>
            <w:tcW w:w="6075" w:type="dxa"/>
            <w:gridSpan w:val="3"/>
            <w:shd w:val="clear" w:color="auto" w:fill="F1F1F1" w:themeFill="background1" w:themeFillShade="F2"/>
            <w:vAlign w:val="center"/>
          </w:tcPr>
          <w:p>
            <w:pPr>
              <w:pStyle w:val="12"/>
              <w:numPr>
                <w:ilvl w:val="0"/>
                <w:numId w:val="1"/>
              </w:numPr>
              <w:ind w:left="482" w:hanging="482" w:hangingChars="200"/>
              <w:jc w:val="left"/>
              <w:rPr>
                <w:rFonts w:ascii="Times New Roman" w:hAnsi="Times New Roman" w:eastAsia="楷体" w:cs="Times New Roman"/>
                <w:b/>
                <w:color w:val="0070C0"/>
                <w:sz w:val="24"/>
                <w:szCs w:val="24"/>
              </w:rPr>
            </w:pPr>
            <w:r>
              <w:rPr>
                <w:rFonts w:hint="eastAsia" w:ascii="Times New Roman" w:hAnsi="Times New Roman" w:eastAsia="楷体" w:cs="Times New Roman"/>
                <w:b/>
                <w:color w:val="0070C0"/>
                <w:sz w:val="24"/>
                <w:szCs w:val="24"/>
              </w:rPr>
              <w:t>全国1</w:t>
            </w:r>
            <w:r>
              <w:rPr>
                <w:rFonts w:ascii="Times New Roman" w:hAnsi="Times New Roman" w:eastAsia="楷体" w:cs="Times New Roman"/>
                <w:b/>
                <w:color w:val="0070C0"/>
                <w:sz w:val="24"/>
                <w:szCs w:val="24"/>
              </w:rPr>
              <w:t>3</w:t>
            </w:r>
            <w:r>
              <w:rPr>
                <w:rFonts w:hint="eastAsia" w:ascii="Times New Roman" w:hAnsi="Times New Roman" w:eastAsia="楷体" w:cs="Times New Roman"/>
                <w:b/>
                <w:color w:val="0070C0"/>
                <w:sz w:val="24"/>
                <w:szCs w:val="24"/>
              </w:rPr>
              <w:t>所地下水科学与工程专业之一</w:t>
            </w:r>
          </w:p>
          <w:p>
            <w:pPr>
              <w:pStyle w:val="12"/>
              <w:numPr>
                <w:ilvl w:val="0"/>
                <w:numId w:val="1"/>
              </w:numPr>
              <w:ind w:left="482" w:hanging="482" w:hangingChars="200"/>
              <w:jc w:val="left"/>
              <w:rPr>
                <w:rFonts w:ascii="Times New Roman" w:hAnsi="Times New Roman" w:eastAsia="楷体" w:cs="Times New Roman"/>
                <w:b/>
                <w:color w:val="0070C0"/>
                <w:sz w:val="24"/>
                <w:szCs w:val="24"/>
              </w:rPr>
            </w:pPr>
            <w:r>
              <w:rPr>
                <w:rFonts w:hint="eastAsia" w:ascii="Times New Roman" w:hAnsi="Times New Roman" w:eastAsia="楷体" w:cs="Times New Roman"/>
                <w:b/>
                <w:color w:val="0070C0"/>
                <w:sz w:val="24"/>
                <w:szCs w:val="24"/>
              </w:rPr>
              <w:t>考研、就业率综合达</w:t>
            </w:r>
            <w:r>
              <w:rPr>
                <w:rFonts w:ascii="Times New Roman" w:hAnsi="Times New Roman" w:eastAsia="楷体" w:cs="Times New Roman"/>
                <w:b/>
                <w:color w:val="0070C0"/>
                <w:sz w:val="24"/>
                <w:szCs w:val="24"/>
              </w:rPr>
              <w:t>100</w:t>
            </w:r>
            <w:r>
              <w:rPr>
                <w:rFonts w:hint="eastAsia" w:ascii="Times New Roman" w:hAnsi="Times New Roman" w:eastAsia="楷体" w:cs="Times New Roman"/>
                <w:b/>
                <w:color w:val="0070C0"/>
                <w:sz w:val="24"/>
                <w:szCs w:val="24"/>
              </w:rPr>
              <w:t>%</w:t>
            </w:r>
          </w:p>
          <w:p>
            <w:pPr>
              <w:pStyle w:val="12"/>
              <w:numPr>
                <w:ilvl w:val="0"/>
                <w:numId w:val="1"/>
              </w:numPr>
              <w:ind w:firstLineChars="0"/>
              <w:jc w:val="left"/>
              <w:rPr>
                <w:rFonts w:ascii="Times New Roman" w:hAnsi="Times New Roman" w:eastAsia="楷体" w:cs="Times New Roman"/>
                <w:sz w:val="24"/>
                <w:szCs w:val="24"/>
              </w:rPr>
            </w:pPr>
            <w:r>
              <w:rPr>
                <w:rFonts w:hint="eastAsia" w:ascii="Times New Roman" w:hAnsi="Times New Roman" w:eastAsia="楷体" w:cs="Times New Roman"/>
                <w:b/>
                <w:color w:val="0070C0"/>
                <w:sz w:val="24"/>
                <w:szCs w:val="24"/>
              </w:rPr>
              <w:t>生产单位、科研院所、大专院校、行政管理部门从事地下水科学与工程方面的勘察、评价、规划设计、地下水资源管理、技术经济分析的高级应用型专门人才</w:t>
            </w:r>
          </w:p>
        </w:tc>
      </w:tr>
    </w:tbl>
    <w:p>
      <w:pPr>
        <w:jc w:val="center"/>
        <w:rPr>
          <w:rFonts w:ascii="楷体" w:hAnsi="楷体" w:eastAsia="楷体"/>
          <w:sz w:val="24"/>
          <w:szCs w:val="24"/>
        </w:rPr>
      </w:pPr>
    </w:p>
    <w:p>
      <w:pPr>
        <w:jc w:val="center"/>
        <w:rPr>
          <w:rFonts w:ascii="楷体" w:hAnsi="楷体" w:eastAsia="楷体"/>
          <w:sz w:val="24"/>
          <w:szCs w:val="24"/>
        </w:rPr>
      </w:pPr>
    </w:p>
    <w:p>
      <w:pPr>
        <w:jc w:val="center"/>
        <w:rPr>
          <w:rFonts w:ascii="楷体" w:hAnsi="楷体" w:eastAsia="楷体"/>
          <w:b/>
          <w:sz w:val="28"/>
          <w:szCs w:val="28"/>
        </w:rPr>
      </w:pPr>
      <w:r>
        <w:rPr>
          <w:rFonts w:hint="eastAsia" w:ascii="楷体" w:hAnsi="楷体" w:eastAsia="楷体"/>
          <w:b/>
          <w:sz w:val="28"/>
          <w:szCs w:val="28"/>
        </w:rPr>
        <w:t>专业介绍</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专业源自1895年创办的北洋大学堂采矿冶金科，1957年在西北工学院采矿系设立“矿产地质勘探”专业，随后调整到西安交通大学。1958年从西安交通大学分出，组建了西安矿业学院（西安科技大学前身），专业改为“煤田地质与勘探”，1987年成立“水文地质与工程地质”本科专业，1</w:t>
      </w:r>
      <w:r>
        <w:rPr>
          <w:rFonts w:ascii="楷体" w:hAnsi="楷体" w:eastAsia="楷体"/>
          <w:sz w:val="24"/>
          <w:szCs w:val="24"/>
        </w:rPr>
        <w:t>997</w:t>
      </w:r>
      <w:r>
        <w:rPr>
          <w:rFonts w:hint="eastAsia" w:ascii="楷体" w:hAnsi="楷体" w:eastAsia="楷体"/>
          <w:sz w:val="24"/>
          <w:szCs w:val="24"/>
        </w:rPr>
        <w:t>年经教育部本科专业目录调整，划归为“地质工程”专业，2</w:t>
      </w:r>
      <w:r>
        <w:rPr>
          <w:rFonts w:ascii="楷体" w:hAnsi="楷体" w:eastAsia="楷体"/>
          <w:sz w:val="24"/>
          <w:szCs w:val="24"/>
        </w:rPr>
        <w:t>017</w:t>
      </w:r>
      <w:r>
        <w:rPr>
          <w:rFonts w:hint="eastAsia" w:ascii="楷体" w:hAnsi="楷体" w:eastAsia="楷体"/>
          <w:sz w:val="24"/>
          <w:szCs w:val="24"/>
        </w:rPr>
        <w:t>年将水文地质和环境工程专业的一部分师资调出，筹建地下水科学与工程专业，2018年获教育部批准。63年的悠久历史奠定了专业人特有的励志图存、自强不息的文化与传承。</w:t>
      </w:r>
    </w:p>
    <w:p>
      <w:pPr>
        <w:jc w:val="center"/>
        <w:rPr>
          <w:rFonts w:ascii="楷体" w:hAnsi="楷体" w:eastAsia="楷体"/>
          <w:sz w:val="24"/>
          <w:szCs w:val="24"/>
        </w:rPr>
      </w:pPr>
      <w:r>
        <w:rPr>
          <w:rFonts w:ascii="楷体" w:hAnsi="楷体" w:eastAsia="楷体"/>
          <w:sz w:val="24"/>
          <w:szCs w:val="24"/>
        </w:rPr>
        <w:drawing>
          <wp:inline distT="0" distB="0" distL="0" distR="0">
            <wp:extent cx="5149850" cy="18078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l="1790" t="5840" r="1093"/>
                    <a:stretch>
                      <a:fillRect/>
                    </a:stretch>
                  </pic:blipFill>
                  <pic:spPr>
                    <a:xfrm>
                      <a:off x="0" y="0"/>
                      <a:ext cx="5150668" cy="1808090"/>
                    </a:xfrm>
                    <a:prstGeom prst="rect">
                      <a:avLst/>
                    </a:prstGeom>
                    <a:noFill/>
                    <a:ln>
                      <a:noFill/>
                    </a:ln>
                  </pic:spPr>
                </pic:pic>
              </a:graphicData>
            </a:graphic>
          </wp:inline>
        </w:drawing>
      </w:r>
    </w:p>
    <w:p>
      <w:pPr>
        <w:jc w:val="center"/>
        <w:rPr>
          <w:rFonts w:ascii="楷体" w:hAnsi="楷体" w:eastAsia="楷体"/>
          <w:sz w:val="24"/>
          <w:szCs w:val="24"/>
        </w:rPr>
      </w:pPr>
      <w:r>
        <w:rPr>
          <w:rFonts w:hint="eastAsia" w:ascii="楷体" w:hAnsi="楷体" w:eastAsia="楷体"/>
          <w:sz w:val="24"/>
          <w:szCs w:val="24"/>
        </w:rPr>
        <w:t>专业沿革</w:t>
      </w:r>
    </w:p>
    <w:p>
      <w:pPr>
        <w:jc w:val="center"/>
        <w:rPr>
          <w:rFonts w:ascii="楷体" w:hAnsi="楷体" w:eastAsia="楷体"/>
          <w:b/>
          <w:sz w:val="28"/>
          <w:szCs w:val="28"/>
        </w:rPr>
      </w:pPr>
      <w:r>
        <w:rPr>
          <w:rFonts w:hint="eastAsia" w:ascii="楷体" w:hAnsi="楷体" w:eastAsia="楷体"/>
          <w:b/>
          <w:sz w:val="28"/>
          <w:szCs w:val="28"/>
        </w:rPr>
        <w:t>专业培养层次</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专业依托地质资源与地质工程一级博、硕士点学科及地质资源与地质工程陕西省优势学科和博士后流动站而发展，已建成本、硕、博和博士后完整的人才培养体系和系统的学位授予权。</w:t>
      </w:r>
    </w:p>
    <w:p>
      <w:pPr>
        <w:jc w:val="center"/>
        <w:rPr>
          <w:rFonts w:ascii="楷体" w:hAnsi="楷体" w:eastAsia="楷体"/>
          <w:sz w:val="24"/>
          <w:szCs w:val="24"/>
        </w:rPr>
      </w:pPr>
      <w:r>
        <w:rPr>
          <w:rFonts w:ascii="楷体" w:hAnsi="楷体" w:eastAsia="楷体"/>
          <w:sz w:val="24"/>
          <w:szCs w:val="24"/>
        </w:rPr>
        <w:drawing>
          <wp:inline distT="0" distB="0" distL="0" distR="0">
            <wp:extent cx="5217160" cy="2148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44135" cy="2160356"/>
                    </a:xfrm>
                    <a:prstGeom prst="rect">
                      <a:avLst/>
                    </a:prstGeom>
                    <a:noFill/>
                  </pic:spPr>
                </pic:pic>
              </a:graphicData>
            </a:graphic>
          </wp:inline>
        </w:drawing>
      </w:r>
    </w:p>
    <w:p>
      <w:pPr>
        <w:jc w:val="center"/>
        <w:rPr>
          <w:rFonts w:ascii="楷体" w:hAnsi="楷体" w:eastAsia="楷体"/>
          <w:sz w:val="24"/>
          <w:szCs w:val="24"/>
        </w:rPr>
      </w:pPr>
    </w:p>
    <w:p>
      <w:pPr>
        <w:jc w:val="center"/>
        <w:rPr>
          <w:rFonts w:ascii="楷体" w:hAnsi="楷体" w:eastAsia="楷体"/>
          <w:b/>
          <w:sz w:val="28"/>
          <w:szCs w:val="28"/>
        </w:rPr>
      </w:pPr>
      <w:r>
        <w:rPr>
          <w:rFonts w:hint="eastAsia" w:ascii="楷体" w:hAnsi="楷体" w:eastAsia="楷体"/>
          <w:b/>
          <w:sz w:val="28"/>
          <w:szCs w:val="28"/>
        </w:rPr>
        <w:t>专业培养理念与模式</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专业紧紧围绕“以学生为中心”、“成果导向教育”和“持续改进”三大核心理念，培养知识、能力、素质各方面全面发展，具有创新意识、实践能力和一定国际视野的应用型高级专门人才，能够从事地下水资源的勘查、评价、开发、管理，地下水环境和地质环境监测、评价和治理，工程水文地质勘察、设计、施工。。实行“按行业需求、按学生意愿”多方向个性化培养，构建了“通识通修+地质基础+专业方向+交叉选修”模块化课程体系，本科生导师制进行研究生化培养。专业立足西部，面向全国，建设国家级一流本科专业。</w:t>
      </w:r>
    </w:p>
    <w:p>
      <w:pPr>
        <w:jc w:val="center"/>
        <w:rPr>
          <w:rFonts w:ascii="楷体" w:hAnsi="楷体" w:eastAsia="楷体"/>
          <w:sz w:val="24"/>
          <w:szCs w:val="24"/>
        </w:rPr>
      </w:pPr>
      <w:r>
        <w:rPr>
          <w:rFonts w:ascii="楷体" w:hAnsi="楷体" w:eastAsia="楷体"/>
          <w:sz w:val="24"/>
          <w:szCs w:val="24"/>
        </w:rPr>
        <w:drawing>
          <wp:inline distT="0" distB="0" distL="0" distR="0">
            <wp:extent cx="4122420" cy="1043305"/>
            <wp:effectExtent l="0" t="0" r="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noChangeArrowheads="1"/>
                    </pic:cNvPicPr>
                  </pic:nvPicPr>
                  <pic:blipFill>
                    <a:blip r:embed="rId6" cstate="print">
                      <a:extLst>
                        <a:ext uri="{28A0092B-C50C-407E-A947-70E740481C1C}">
                          <a14:useLocalDpi xmlns:a14="http://schemas.microsoft.com/office/drawing/2010/main" val="0"/>
                        </a:ext>
                      </a:extLst>
                    </a:blip>
                    <a:srcRect b="52136"/>
                    <a:stretch>
                      <a:fillRect/>
                    </a:stretch>
                  </pic:blipFill>
                  <pic:spPr>
                    <a:xfrm>
                      <a:off x="0" y="0"/>
                      <a:ext cx="4124130" cy="1044120"/>
                    </a:xfrm>
                    <a:prstGeom prst="rect">
                      <a:avLst/>
                    </a:prstGeom>
                    <a:noFill/>
                    <a:ln>
                      <a:noFill/>
                    </a:ln>
                  </pic:spPr>
                </pic:pic>
              </a:graphicData>
            </a:graphic>
          </wp:inline>
        </w:drawing>
      </w:r>
    </w:p>
    <w:p>
      <w:pPr>
        <w:jc w:val="center"/>
        <w:rPr>
          <w:rFonts w:hint="eastAsia" w:ascii="楷体" w:hAnsi="楷体" w:eastAsia="楷体"/>
          <w:sz w:val="24"/>
          <w:szCs w:val="24"/>
        </w:rPr>
      </w:pPr>
      <w:r>
        <w:rPr>
          <w:rFonts w:ascii="楷体" w:hAnsi="楷体" w:eastAsia="楷体"/>
          <w:sz w:val="24"/>
          <w:szCs w:val="24"/>
        </w:rPr>
        <w:drawing>
          <wp:inline distT="0" distB="0" distL="0" distR="0">
            <wp:extent cx="2163445" cy="1188085"/>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74851" cy="1194398"/>
                    </a:xfrm>
                    <a:prstGeom prst="rect">
                      <a:avLst/>
                    </a:prstGeom>
                    <a:noFill/>
                  </pic:spPr>
                </pic:pic>
              </a:graphicData>
            </a:graphic>
          </wp:inline>
        </w:drawing>
      </w:r>
    </w:p>
    <w:p>
      <w:pPr>
        <w:jc w:val="center"/>
        <w:rPr>
          <w:rFonts w:ascii="楷体" w:hAnsi="楷体" w:eastAsia="楷体"/>
          <w:sz w:val="24"/>
          <w:szCs w:val="24"/>
        </w:rPr>
      </w:pPr>
      <w:r>
        <w:rPr>
          <w:rFonts w:hint="eastAsia" w:ascii="楷体" w:hAnsi="楷体" w:eastAsia="楷体"/>
          <w:sz w:val="24"/>
          <w:szCs w:val="24"/>
        </w:rPr>
        <w:t>人才培养思路</w:t>
      </w:r>
    </w:p>
    <w:p>
      <w:pPr>
        <w:jc w:val="left"/>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专业秉承“以学生为中心、教师为主导，知识、能力、素质协调发展”的理念，注重发挥学科与科研优势、搭建多级、多类学科竞赛平台，校企协同，通过认知能力、动手能力、实践能力和创新能力的逐层培养，达到工程应用能力培养贯穿整个教学学习过程。</w:t>
      </w:r>
    </w:p>
    <w:p>
      <w:pPr>
        <w:jc w:val="center"/>
        <w:rPr>
          <w:rFonts w:ascii="楷体" w:hAnsi="楷体" w:eastAsia="楷体"/>
          <w:sz w:val="24"/>
          <w:szCs w:val="24"/>
        </w:rPr>
      </w:pPr>
      <w:r>
        <w:rPr>
          <w:rFonts w:ascii="楷体" w:hAnsi="楷体" w:eastAsia="楷体"/>
          <w:sz w:val="24"/>
          <w:szCs w:val="24"/>
        </w:rPr>
        <w:drawing>
          <wp:inline distT="0" distB="0" distL="0" distR="0">
            <wp:extent cx="2531110" cy="1960245"/>
            <wp:effectExtent l="0" t="0" r="254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9462" cy="1966844"/>
                    </a:xfrm>
                    <a:prstGeom prst="rect">
                      <a:avLst/>
                    </a:prstGeom>
                    <a:noFill/>
                  </pic:spPr>
                </pic:pic>
              </a:graphicData>
            </a:graphic>
          </wp:inline>
        </w:drawing>
      </w:r>
    </w:p>
    <w:p>
      <w:pPr>
        <w:spacing w:line="360" w:lineRule="auto"/>
        <w:jc w:val="center"/>
        <w:rPr>
          <w:rFonts w:ascii="楷体" w:hAnsi="楷体" w:eastAsia="楷体"/>
          <w:sz w:val="24"/>
          <w:szCs w:val="24"/>
        </w:rPr>
      </w:pPr>
      <w:r>
        <w:rPr>
          <w:rFonts w:ascii="楷体" w:hAnsi="楷体" w:eastAsia="楷体"/>
          <w:sz w:val="24"/>
          <w:szCs w:val="24"/>
        </w:rPr>
        <w:drawing>
          <wp:inline distT="0" distB="0" distL="0" distR="0">
            <wp:extent cx="2510790" cy="1882775"/>
            <wp:effectExtent l="0" t="0" r="3810" b="3175"/>
            <wp:docPr id="20" name="Picture 20" descr="C:\Users\lenovo\Desktop\QQ图片202003290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lenovo\Desktop\QQ图片20200329002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868" cy="1895901"/>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drawing>
          <wp:inline distT="0" distB="0" distL="0" distR="0">
            <wp:extent cx="3032125" cy="2065655"/>
            <wp:effectExtent l="0" t="0" r="0" b="0"/>
            <wp:docPr id="3" name="Picture 3" descr="C:\Users\lenovo\Desktop\2015数学建模国家一等奖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enovo\Desktop\2015数学建模国家一等奖证书.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41637" cy="2072376"/>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drawing>
          <wp:inline distT="0" distB="0" distL="0" distR="0">
            <wp:extent cx="2156460" cy="2874010"/>
            <wp:effectExtent l="3175" t="0" r="0" b="0"/>
            <wp:docPr id="190" name="Picture 190" descr="J:\照片\2017-7龙门山前陆盆地野外\201809地质技能竞赛\QQ图片2019052714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J:\照片\2017-7龙门山前陆盆地野外\201809地质技能竞赛\QQ图片20190527143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2157563" cy="2875366"/>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ascii="楷体" w:hAnsi="楷体" w:eastAsia="楷体"/>
          <w:sz w:val="24"/>
          <w:szCs w:val="24"/>
        </w:rPr>
        <w:drawing>
          <wp:inline distT="0" distB="0" distL="0" distR="0">
            <wp:extent cx="2847340" cy="1986915"/>
            <wp:effectExtent l="0" t="0" r="0" b="0"/>
            <wp:docPr id="191" name="Picture 191" descr="C:\Users\DELL\AppData\Local\Temp\Rar$DIa6684.44145\陈孝娟15级资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C:\Users\DELL\AppData\Local\Temp\Rar$DIa6684.44145\陈孝娟15级资源.JPG"/>
                    <pic:cNvPicPr>
                      <a:picLocks noChangeAspect="1" noChangeArrowheads="1"/>
                    </pic:cNvPicPr>
                  </pic:nvPicPr>
                  <pic:blipFill>
                    <a:blip r:embed="rId12" cstate="print">
                      <a:extLst>
                        <a:ext uri="{28A0092B-C50C-407E-A947-70E740481C1C}">
                          <a14:useLocalDpi xmlns:a14="http://schemas.microsoft.com/office/drawing/2010/main" val="0"/>
                        </a:ext>
                      </a:extLst>
                    </a:blip>
                    <a:srcRect l="1061" t="6131" r="2890" b="4481"/>
                    <a:stretch>
                      <a:fillRect/>
                    </a:stretch>
                  </pic:blipFill>
                  <pic:spPr>
                    <a:xfrm>
                      <a:off x="0" y="0"/>
                      <a:ext cx="2848937" cy="1988486"/>
                    </a:xfrm>
                    <a:prstGeom prst="rect">
                      <a:avLst/>
                    </a:prstGeom>
                    <a:noFill/>
                    <a:ln>
                      <a:noFill/>
                    </a:ln>
                  </pic:spPr>
                </pic:pic>
              </a:graphicData>
            </a:graphic>
          </wp:inline>
        </w:drawing>
      </w:r>
    </w:p>
    <w:p>
      <w:pPr>
        <w:spacing w:line="360" w:lineRule="auto"/>
        <w:ind w:firstLine="480" w:firstLineChars="200"/>
        <w:rPr>
          <w:rFonts w:ascii="楷体" w:hAnsi="楷体" w:eastAsia="楷体"/>
          <w:sz w:val="24"/>
          <w:szCs w:val="24"/>
        </w:rPr>
      </w:pPr>
      <w:r>
        <w:rPr>
          <w:rFonts w:hint="eastAsia" w:ascii="楷体" w:hAnsi="楷体" w:eastAsia="楷体"/>
          <w:sz w:val="24"/>
          <w:szCs w:val="24"/>
        </w:rPr>
        <w:t>本专业学生绝大多数踊跃参加全国数学建模竞赛、全国大学生英语竞赛、全国大学生地质技能竞赛、陕西省大学生科技竞赛、互联网+等国家级、省部级创新活动和竞赛。毕业生就业面广,就业单位包括工程勘查单位、中煤科工集团，陕西煤业集团、中石化、中石油集团、陕西延长石油集团、中铁各局集团等企事业单位以及各区县市自然资源局等政府部门。学院近年来大量学生保送至中国科学院、北京大学、中国地质大学（北京、武汉）、澳大利亚墨尔本大学等国内外知名高校攻读硕士或博士学位。</w:t>
      </w:r>
    </w:p>
    <w:p>
      <w:pPr>
        <w:jc w:val="center"/>
        <w:rPr>
          <w:rFonts w:ascii="楷体" w:hAnsi="楷体" w:eastAsia="楷体"/>
          <w:b/>
          <w:sz w:val="28"/>
          <w:szCs w:val="28"/>
        </w:rPr>
      </w:pPr>
      <w:r>
        <w:rPr>
          <w:rFonts w:hint="eastAsia" w:ascii="楷体" w:hAnsi="楷体" w:eastAsia="楷体"/>
          <w:b/>
          <w:sz w:val="28"/>
          <w:szCs w:val="28"/>
        </w:rPr>
        <w:t>教学科研</w:t>
      </w:r>
    </w:p>
    <w:p>
      <w:pPr>
        <w:widowControl/>
        <w:adjustRightInd w:val="0"/>
        <w:snapToGrid w:val="0"/>
        <w:spacing w:line="300" w:lineRule="auto"/>
        <w:ind w:firstLine="480" w:firstLineChars="200"/>
        <w:rPr>
          <w:rFonts w:ascii="楷体" w:hAnsi="楷体" w:eastAsia="楷体"/>
          <w:sz w:val="24"/>
          <w:szCs w:val="24"/>
        </w:rPr>
      </w:pPr>
      <w:r>
        <w:rPr>
          <w:rFonts w:hint="eastAsia" w:ascii="楷体" w:hAnsi="楷体" w:eastAsia="楷体"/>
          <w:sz w:val="24"/>
          <w:szCs w:val="24"/>
        </w:rPr>
        <w:t>专业教学实行校、院、系三级教学管理模式，紧跟新时代新工科教育教学改革，将“互联网+”、“地质+”、大数据等新技术融入教学内容。专业拥有陕西省煤炭绿色开发地质保障重点实验室、陕西省煤炭资源安全绿色高效开发协同创新中心、陕西省地质与环境教学示范中心、地质博物馆等省级教学科研平台。拥有基础地质实验室、专业实训实验室、创新训练实验室三类共25个实验室，各类教学仪器设备共计3000余台（件）。同时还有7个野外地质实习基地及与校外企业协调构建的22个生产实习及毕业实习基地。构建了四层次（地质认知、地质技能、地质能力、综合创新）、四模块（实验、实习、生产实践、创新创业）渐进式实践教学体系。</w:t>
      </w:r>
    </w:p>
    <w:p>
      <w:pPr>
        <w:pStyle w:val="12"/>
        <w:widowControl/>
        <w:numPr>
          <w:ilvl w:val="0"/>
          <w:numId w:val="2"/>
        </w:numPr>
        <w:adjustRightInd w:val="0"/>
        <w:snapToGrid w:val="0"/>
        <w:spacing w:line="300" w:lineRule="auto"/>
        <w:ind w:left="284" w:hanging="284" w:firstLineChars="0"/>
        <w:rPr>
          <w:rFonts w:ascii="楷体" w:hAnsi="楷体" w:eastAsia="楷体"/>
          <w:b/>
          <w:sz w:val="24"/>
          <w:szCs w:val="24"/>
        </w:rPr>
      </w:pPr>
      <w:r>
        <w:rPr>
          <w:rFonts w:hint="eastAsia" w:ascii="楷体" w:hAnsi="楷体" w:eastAsia="楷体"/>
          <w:b/>
          <w:sz w:val="24"/>
          <w:szCs w:val="24"/>
        </w:rPr>
        <w:t>西安科技大学地质博物馆</w:t>
      </w:r>
    </w:p>
    <w:p>
      <w:pPr>
        <w:widowControl/>
        <w:adjustRightInd w:val="0"/>
        <w:snapToGrid w:val="0"/>
        <w:spacing w:line="300" w:lineRule="auto"/>
        <w:jc w:val="center"/>
        <w:rPr>
          <w:rFonts w:ascii="仿宋_GB2312" w:hAnsi="仿宋_GB2312" w:eastAsia="仿宋_GB2312" w:cs="仿宋_GB2312"/>
          <w:spacing w:val="-2"/>
          <w:kern w:val="0"/>
          <w:sz w:val="24"/>
          <w:szCs w:val="20"/>
        </w:rPr>
      </w:pPr>
      <w:r>
        <w:rPr>
          <w:rFonts w:ascii="仿宋_GB2312" w:hAnsi="仿宋_GB2312" w:eastAsia="仿宋_GB2312" w:cs="仿宋_GB2312"/>
          <w:spacing w:val="-2"/>
          <w:kern w:val="0"/>
          <w:sz w:val="24"/>
          <w:szCs w:val="20"/>
        </w:rPr>
        <w:drawing>
          <wp:inline distT="0" distB="0" distL="0" distR="0">
            <wp:extent cx="5219700" cy="194373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20000" cy="1944227"/>
                    </a:xfrm>
                    <a:prstGeom prst="rect">
                      <a:avLst/>
                    </a:prstGeom>
                    <a:noFill/>
                  </pic:spPr>
                </pic:pic>
              </a:graphicData>
            </a:graphic>
          </wp:inline>
        </w:drawing>
      </w:r>
    </w:p>
    <w:p>
      <w:pPr>
        <w:pStyle w:val="12"/>
        <w:widowControl/>
        <w:numPr>
          <w:ilvl w:val="0"/>
          <w:numId w:val="2"/>
        </w:numPr>
        <w:adjustRightInd w:val="0"/>
        <w:snapToGrid w:val="0"/>
        <w:spacing w:line="300" w:lineRule="auto"/>
        <w:ind w:left="284" w:hanging="284" w:firstLineChars="0"/>
        <w:jc w:val="left"/>
        <w:rPr>
          <w:rFonts w:ascii="楷体" w:hAnsi="楷体" w:eastAsia="楷体"/>
          <w:b/>
          <w:sz w:val="24"/>
          <w:szCs w:val="24"/>
        </w:rPr>
      </w:pPr>
      <w:r>
        <w:rPr>
          <w:rFonts w:hint="eastAsia" w:ascii="楷体" w:hAnsi="楷体" w:eastAsia="楷体"/>
          <w:b/>
          <w:sz w:val="24"/>
          <w:szCs w:val="24"/>
        </w:rPr>
        <w:t>基础地质实验室</w:t>
      </w:r>
    </w:p>
    <w:p>
      <w:pPr>
        <w:widowControl/>
        <w:adjustRightInd w:val="0"/>
        <w:snapToGrid w:val="0"/>
        <w:spacing w:line="300" w:lineRule="auto"/>
        <w:jc w:val="center"/>
        <w:rPr>
          <w:rFonts w:ascii="仿宋_GB2312" w:hAnsi="仿宋_GB2312" w:eastAsia="仿宋_GB2312" w:cs="仿宋_GB2312"/>
          <w:spacing w:val="-2"/>
          <w:kern w:val="0"/>
          <w:sz w:val="24"/>
          <w:szCs w:val="20"/>
        </w:rPr>
      </w:pPr>
      <w:r>
        <w:rPr>
          <w:rFonts w:ascii="仿宋_GB2312" w:hAnsi="仿宋_GB2312" w:eastAsia="仿宋_GB2312" w:cs="仿宋_GB2312"/>
          <w:spacing w:val="-2"/>
          <w:kern w:val="0"/>
          <w:sz w:val="24"/>
          <w:szCs w:val="20"/>
        </w:rPr>
        <w:drawing>
          <wp:inline distT="0" distB="0" distL="0" distR="0">
            <wp:extent cx="5219700" cy="24098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20000" cy="2409941"/>
                    </a:xfrm>
                    <a:prstGeom prst="rect">
                      <a:avLst/>
                    </a:prstGeom>
                    <a:noFill/>
                  </pic:spPr>
                </pic:pic>
              </a:graphicData>
            </a:graphic>
          </wp:inline>
        </w:drawing>
      </w:r>
    </w:p>
    <w:p>
      <w:pPr>
        <w:pStyle w:val="12"/>
        <w:widowControl/>
        <w:numPr>
          <w:ilvl w:val="0"/>
          <w:numId w:val="2"/>
        </w:numPr>
        <w:adjustRightInd w:val="0"/>
        <w:snapToGrid w:val="0"/>
        <w:spacing w:line="300" w:lineRule="auto"/>
        <w:ind w:left="284" w:hanging="284" w:firstLineChars="0"/>
        <w:jc w:val="left"/>
        <w:rPr>
          <w:rFonts w:ascii="楷体" w:hAnsi="楷体" w:eastAsia="楷体"/>
          <w:b/>
          <w:sz w:val="24"/>
          <w:szCs w:val="24"/>
        </w:rPr>
      </w:pPr>
      <w:r>
        <w:rPr>
          <w:rFonts w:hint="eastAsia" w:ascii="楷体" w:hAnsi="楷体" w:eastAsia="楷体"/>
          <w:b/>
          <w:sz w:val="24"/>
          <w:szCs w:val="24"/>
        </w:rPr>
        <w:t>专业实验室</w:t>
      </w:r>
    </w:p>
    <w:p>
      <w:pPr>
        <w:widowControl/>
        <w:adjustRightInd w:val="0"/>
        <w:snapToGrid w:val="0"/>
        <w:spacing w:line="300" w:lineRule="auto"/>
        <w:jc w:val="center"/>
        <w:rPr>
          <w:rFonts w:ascii="楷体" w:hAnsi="楷体" w:eastAsia="楷体"/>
          <w:sz w:val="24"/>
          <w:szCs w:val="24"/>
        </w:rPr>
      </w:pPr>
      <w:r>
        <w:rPr>
          <w:rFonts w:ascii="楷体" w:hAnsi="楷体" w:eastAsia="楷体"/>
          <w:sz w:val="24"/>
          <w:szCs w:val="24"/>
        </w:rPr>
        <w:drawing>
          <wp:inline distT="0" distB="0" distL="0" distR="0">
            <wp:extent cx="5219700" cy="2837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0000" cy="2837786"/>
                    </a:xfrm>
                    <a:prstGeom prst="rect">
                      <a:avLst/>
                    </a:prstGeom>
                    <a:noFill/>
                  </pic:spPr>
                </pic:pic>
              </a:graphicData>
            </a:graphic>
          </wp:inline>
        </w:drawing>
      </w:r>
    </w:p>
    <w:p>
      <w:pPr>
        <w:pStyle w:val="12"/>
        <w:widowControl/>
        <w:numPr>
          <w:ilvl w:val="0"/>
          <w:numId w:val="2"/>
        </w:numPr>
        <w:adjustRightInd w:val="0"/>
        <w:snapToGrid w:val="0"/>
        <w:spacing w:line="300" w:lineRule="auto"/>
        <w:ind w:left="284" w:hanging="284" w:firstLineChars="0"/>
        <w:jc w:val="left"/>
        <w:rPr>
          <w:rFonts w:ascii="楷体" w:hAnsi="楷体" w:eastAsia="楷体"/>
          <w:b/>
          <w:sz w:val="24"/>
          <w:szCs w:val="24"/>
        </w:rPr>
      </w:pPr>
      <w:r>
        <w:rPr>
          <w:rFonts w:hint="eastAsia" w:ascii="楷体" w:hAnsi="楷体" w:eastAsia="楷体"/>
          <w:b/>
          <w:sz w:val="24"/>
          <w:szCs w:val="24"/>
        </w:rPr>
        <w:t>创新训练实验室及部分仪器设备</w:t>
      </w:r>
    </w:p>
    <w:p>
      <w:pPr>
        <w:widowControl/>
        <w:adjustRightInd w:val="0"/>
        <w:snapToGrid w:val="0"/>
        <w:spacing w:line="300" w:lineRule="auto"/>
        <w:jc w:val="center"/>
        <w:rPr>
          <w:rFonts w:ascii="楷体" w:hAnsi="楷体" w:eastAsia="楷体"/>
          <w:sz w:val="24"/>
          <w:szCs w:val="24"/>
        </w:rPr>
      </w:pPr>
      <w:r>
        <w:rPr>
          <w:rFonts w:ascii="楷体" w:hAnsi="楷体" w:eastAsia="楷体"/>
          <w:sz w:val="24"/>
          <w:szCs w:val="24"/>
        </w:rPr>
        <w:drawing>
          <wp:inline distT="0" distB="0" distL="0" distR="0">
            <wp:extent cx="5219700" cy="2637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20000" cy="2637981"/>
                    </a:xfrm>
                    <a:prstGeom prst="rect">
                      <a:avLst/>
                    </a:prstGeom>
                    <a:noFill/>
                  </pic:spPr>
                </pic:pic>
              </a:graphicData>
            </a:graphic>
          </wp:inline>
        </w:drawing>
      </w:r>
    </w:p>
    <w:p>
      <w:pPr>
        <w:widowControl/>
        <w:adjustRightInd w:val="0"/>
        <w:snapToGrid w:val="0"/>
        <w:spacing w:line="300" w:lineRule="auto"/>
        <w:jc w:val="center"/>
        <w:rPr>
          <w:rFonts w:ascii="楷体" w:hAnsi="楷体" w:eastAsia="楷体"/>
          <w:sz w:val="24"/>
          <w:szCs w:val="24"/>
        </w:rPr>
      </w:pPr>
      <w:r>
        <w:rPr>
          <w:rFonts w:ascii="楷体" w:hAnsi="楷体" w:eastAsia="楷体"/>
          <w:sz w:val="24"/>
          <w:szCs w:val="24"/>
        </w:rPr>
        <w:drawing>
          <wp:inline distT="0" distB="0" distL="0" distR="0">
            <wp:extent cx="5219700" cy="24485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20000" cy="2449129"/>
                    </a:xfrm>
                    <a:prstGeom prst="rect">
                      <a:avLst/>
                    </a:prstGeom>
                    <a:noFill/>
                  </pic:spPr>
                </pic:pic>
              </a:graphicData>
            </a:graphic>
          </wp:inline>
        </w:drawing>
      </w:r>
    </w:p>
    <w:p>
      <w:pPr>
        <w:widowControl/>
        <w:adjustRightInd w:val="0"/>
        <w:snapToGrid w:val="0"/>
        <w:spacing w:line="300" w:lineRule="auto"/>
        <w:ind w:firstLine="480" w:firstLineChars="200"/>
        <w:rPr>
          <w:rFonts w:ascii="楷体" w:hAnsi="楷体" w:eastAsia="楷体"/>
          <w:sz w:val="24"/>
          <w:szCs w:val="24"/>
        </w:rPr>
      </w:pPr>
    </w:p>
    <w:p>
      <w:pPr>
        <w:widowControl/>
        <w:adjustRightInd w:val="0"/>
        <w:snapToGrid w:val="0"/>
        <w:spacing w:line="300" w:lineRule="auto"/>
        <w:ind w:firstLine="480" w:firstLineChars="200"/>
        <w:rPr>
          <w:rFonts w:ascii="楷体" w:hAnsi="楷体" w:eastAsia="楷体"/>
          <w:sz w:val="24"/>
          <w:szCs w:val="24"/>
        </w:rPr>
      </w:pPr>
      <w:r>
        <w:rPr>
          <w:rFonts w:hint="eastAsia" w:ascii="楷体" w:hAnsi="楷体" w:eastAsia="楷体"/>
          <w:sz w:val="24"/>
          <w:szCs w:val="24"/>
        </w:rPr>
        <w:t>近三年主持省厅级教改项目9项，获省级教学成果奖8项。承担国家自然科学基金、陕西省自然科学基金以及企事业委托项目110项，获省部级自然科学奖、科技进步奖等6项。建设省级精品课程3门，出版教材和专著18部，发表学术论文142篇，专利46项，软件著作权3项，国内外参加学术交流会议70人次以上。具有雄厚的教学科研实力。</w:t>
      </w:r>
    </w:p>
    <w:p>
      <w:pPr>
        <w:widowControl/>
        <w:adjustRightInd w:val="0"/>
        <w:snapToGrid w:val="0"/>
        <w:spacing w:line="300" w:lineRule="auto"/>
        <w:ind w:firstLine="474" w:firstLineChars="200"/>
        <w:rPr>
          <w:rFonts w:ascii="楷体" w:hAnsi="楷体" w:eastAsia="楷体" w:cs="仿宋_GB2312"/>
          <w:b/>
          <w:spacing w:val="-2"/>
          <w:kern w:val="0"/>
          <w:sz w:val="24"/>
          <w:szCs w:val="20"/>
        </w:rPr>
      </w:pPr>
      <w:r>
        <w:rPr>
          <w:rFonts w:hint="eastAsia" w:ascii="楷体" w:hAnsi="楷体" w:eastAsia="楷体" w:cs="仿宋_GB2312"/>
          <w:b/>
          <w:spacing w:val="-2"/>
          <w:kern w:val="0"/>
          <w:sz w:val="24"/>
          <w:szCs w:val="20"/>
        </w:rPr>
        <w:t>部分高水平教改项目：</w:t>
      </w:r>
    </w:p>
    <w:tbl>
      <w:tblPr>
        <w:tblStyle w:val="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51"/>
        <w:gridCol w:w="4253"/>
        <w:gridCol w:w="1559"/>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55" w:hRule="atLeast"/>
          <w:jc w:val="center"/>
        </w:trPr>
        <w:tc>
          <w:tcPr>
            <w:tcW w:w="5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序号</w:t>
            </w:r>
          </w:p>
        </w:tc>
        <w:tc>
          <w:tcPr>
            <w:tcW w:w="425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项目名称</w:t>
            </w:r>
          </w:p>
        </w:tc>
        <w:tc>
          <w:tcPr>
            <w:tcW w:w="1559"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授予部门</w:t>
            </w:r>
          </w:p>
        </w:tc>
        <w:tc>
          <w:tcPr>
            <w:tcW w:w="8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等级</w:t>
            </w:r>
          </w:p>
        </w:tc>
        <w:tc>
          <w:tcPr>
            <w:tcW w:w="106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立项时间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55" w:hRule="atLeast"/>
          <w:jc w:val="center"/>
        </w:trPr>
        <w:tc>
          <w:tcPr>
            <w:tcW w:w="5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1</w:t>
            </w:r>
          </w:p>
        </w:tc>
        <w:tc>
          <w:tcPr>
            <w:tcW w:w="425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地质类专业卓越创新人才培养模式研究与实践</w:t>
            </w:r>
          </w:p>
        </w:tc>
        <w:tc>
          <w:tcPr>
            <w:tcW w:w="1559"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陕西省教育厅</w:t>
            </w:r>
          </w:p>
        </w:tc>
        <w:tc>
          <w:tcPr>
            <w:tcW w:w="8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106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55" w:hRule="atLeast"/>
          <w:jc w:val="center"/>
        </w:trPr>
        <w:tc>
          <w:tcPr>
            <w:tcW w:w="5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w:t>
            </w:r>
          </w:p>
        </w:tc>
        <w:tc>
          <w:tcPr>
            <w:tcW w:w="425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地质学科研究生野外创新实验方案研究</w:t>
            </w:r>
          </w:p>
        </w:tc>
        <w:tc>
          <w:tcPr>
            <w:tcW w:w="1559"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中国学位与研究生教育学会</w:t>
            </w:r>
          </w:p>
        </w:tc>
        <w:tc>
          <w:tcPr>
            <w:tcW w:w="851"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106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2017</w:t>
            </w:r>
          </w:p>
        </w:tc>
      </w:tr>
    </w:tbl>
    <w:p>
      <w:pPr>
        <w:widowControl/>
        <w:adjustRightInd w:val="0"/>
        <w:snapToGrid w:val="0"/>
        <w:spacing w:line="300" w:lineRule="auto"/>
        <w:ind w:firstLine="474" w:firstLineChars="200"/>
        <w:rPr>
          <w:rFonts w:ascii="楷体" w:hAnsi="楷体" w:eastAsia="楷体" w:cs="仿宋_GB2312"/>
          <w:b/>
          <w:spacing w:val="-2"/>
          <w:kern w:val="0"/>
          <w:sz w:val="24"/>
          <w:szCs w:val="20"/>
        </w:rPr>
      </w:pPr>
      <w:r>
        <w:rPr>
          <w:rFonts w:hint="eastAsia" w:ascii="楷体" w:hAnsi="楷体" w:eastAsia="楷体" w:cs="仿宋_GB2312"/>
          <w:b/>
          <w:spacing w:val="-2"/>
          <w:kern w:val="0"/>
          <w:sz w:val="24"/>
          <w:szCs w:val="20"/>
        </w:rPr>
        <w:t>部分教学成果奖：</w:t>
      </w:r>
    </w:p>
    <w:tbl>
      <w:tblPr>
        <w:tblStyle w:val="8"/>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28"/>
        <w:gridCol w:w="3568"/>
        <w:gridCol w:w="1463"/>
        <w:gridCol w:w="964"/>
        <w:gridCol w:w="79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5" w:hRule="atLeast"/>
          <w:jc w:val="center"/>
        </w:trPr>
        <w:tc>
          <w:tcPr>
            <w:tcW w:w="528"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序号</w:t>
            </w:r>
          </w:p>
        </w:tc>
        <w:tc>
          <w:tcPr>
            <w:tcW w:w="3568"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获奖成果名称</w:t>
            </w:r>
          </w:p>
        </w:tc>
        <w:tc>
          <w:tcPr>
            <w:tcW w:w="146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所获奖励或支持名称</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获奖时间</w:t>
            </w:r>
          </w:p>
        </w:tc>
        <w:tc>
          <w:tcPr>
            <w:tcW w:w="79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等级</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授予部门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5" w:hRule="atLeast"/>
          <w:jc w:val="center"/>
        </w:trPr>
        <w:tc>
          <w:tcPr>
            <w:tcW w:w="528" w:type="dxa"/>
            <w:vAlign w:val="center"/>
          </w:tcPr>
          <w:p>
            <w:pPr>
              <w:autoSpaceDE w:val="0"/>
              <w:autoSpaceDN w:val="0"/>
              <w:adjustRightInd w:val="0"/>
              <w:jc w:val="center"/>
              <w:rPr>
                <w:rFonts w:ascii="Times New Roman" w:hAnsi="Times New Roman" w:eastAsia="楷体" w:cs="Times New Roman"/>
                <w:color w:val="000000"/>
                <w:kern w:val="0"/>
                <w:sz w:val="20"/>
              </w:rPr>
            </w:pPr>
            <w:r>
              <w:rPr>
                <w:rFonts w:hint="eastAsia" w:ascii="Times New Roman" w:hAnsi="Times New Roman" w:eastAsia="楷体" w:cs="Times New Roman"/>
                <w:color w:val="000000"/>
                <w:kern w:val="0"/>
                <w:sz w:val="20"/>
              </w:rPr>
              <w:t>1</w:t>
            </w:r>
          </w:p>
        </w:tc>
        <w:tc>
          <w:tcPr>
            <w:tcW w:w="3568"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行业特色大学研究生“1431”培养体系构建与实践</w:t>
            </w:r>
          </w:p>
        </w:tc>
        <w:tc>
          <w:tcPr>
            <w:tcW w:w="146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陕西省教学成果奖特等奖</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w:t>
            </w:r>
            <w:r>
              <w:rPr>
                <w:rFonts w:hint="eastAsia" w:ascii="Times New Roman" w:hAnsi="Times New Roman" w:eastAsia="楷体" w:cs="Times New Roman"/>
                <w:color w:val="000000"/>
                <w:kern w:val="0"/>
                <w:sz w:val="20"/>
              </w:rPr>
              <w:t>8</w:t>
            </w:r>
          </w:p>
        </w:tc>
        <w:tc>
          <w:tcPr>
            <w:tcW w:w="79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陕西省教育厅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5" w:hRule="atLeast"/>
          <w:jc w:val="center"/>
        </w:trPr>
        <w:tc>
          <w:tcPr>
            <w:tcW w:w="528" w:type="dxa"/>
            <w:vAlign w:val="center"/>
          </w:tcPr>
          <w:p>
            <w:pPr>
              <w:autoSpaceDE w:val="0"/>
              <w:autoSpaceDN w:val="0"/>
              <w:adjustRightInd w:val="0"/>
              <w:jc w:val="center"/>
              <w:rPr>
                <w:rFonts w:ascii="Times New Roman" w:hAnsi="Times New Roman" w:eastAsia="楷体" w:cs="Times New Roman"/>
                <w:color w:val="000000"/>
                <w:kern w:val="0"/>
                <w:sz w:val="20"/>
              </w:rPr>
            </w:pPr>
            <w:r>
              <w:rPr>
                <w:rFonts w:hint="eastAsia" w:ascii="Times New Roman" w:hAnsi="Times New Roman" w:eastAsia="楷体" w:cs="Times New Roman"/>
                <w:color w:val="000000"/>
                <w:kern w:val="0"/>
                <w:sz w:val="20"/>
              </w:rPr>
              <w:t>2</w:t>
            </w:r>
          </w:p>
        </w:tc>
        <w:tc>
          <w:tcPr>
            <w:tcW w:w="3568"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面向西部矿山需求的地质类专业综合改革与实践</w:t>
            </w:r>
          </w:p>
        </w:tc>
        <w:tc>
          <w:tcPr>
            <w:tcW w:w="1463"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全国煤炭行业教育教学成果奖特等奖</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2017</w:t>
            </w:r>
          </w:p>
        </w:tc>
        <w:tc>
          <w:tcPr>
            <w:tcW w:w="790"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964" w:type="dxa"/>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中国煤炭教育协会</w:t>
            </w:r>
          </w:p>
        </w:tc>
      </w:tr>
    </w:tbl>
    <w:p>
      <w:pPr>
        <w:widowControl/>
        <w:adjustRightInd w:val="0"/>
        <w:snapToGrid w:val="0"/>
        <w:spacing w:line="300" w:lineRule="auto"/>
        <w:ind w:firstLine="474" w:firstLineChars="200"/>
        <w:rPr>
          <w:rFonts w:ascii="楷体" w:hAnsi="楷体" w:eastAsia="楷体" w:cs="仿宋_GB2312"/>
          <w:b/>
          <w:spacing w:val="-2"/>
          <w:kern w:val="0"/>
          <w:sz w:val="24"/>
          <w:szCs w:val="20"/>
        </w:rPr>
      </w:pPr>
      <w:r>
        <w:rPr>
          <w:rFonts w:hint="eastAsia" w:ascii="楷体" w:hAnsi="楷体" w:eastAsia="楷体" w:cs="仿宋_GB2312"/>
          <w:b/>
          <w:spacing w:val="-2"/>
          <w:kern w:val="0"/>
          <w:sz w:val="24"/>
          <w:szCs w:val="20"/>
        </w:rPr>
        <w:t>部分教材与专著获奖</w:t>
      </w:r>
    </w:p>
    <w:tbl>
      <w:tblPr>
        <w:tblStyle w:val="8"/>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6"/>
        <w:gridCol w:w="1134"/>
        <w:gridCol w:w="2437"/>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教材名称</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等级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授予部门</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矿床勘查实用技术</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中国矿业大学出版社</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矿井水害与防治</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矿井水害与防治</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矿井地震方法与技术</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中国矿业大学出版社</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渭北煤矿区采煤沉陷灾变预警研究</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科学出版社</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36"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地球系统科学纲要</w:t>
            </w:r>
          </w:p>
        </w:tc>
        <w:tc>
          <w:tcPr>
            <w:tcW w:w="1134"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省部级</w:t>
            </w:r>
          </w:p>
        </w:tc>
        <w:tc>
          <w:tcPr>
            <w:tcW w:w="2437"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中国矿业大学出版社</w:t>
            </w:r>
          </w:p>
        </w:tc>
        <w:tc>
          <w:tcPr>
            <w:tcW w:w="1449" w:type="dxa"/>
            <w:shd w:val="clear" w:color="auto" w:fill="auto"/>
            <w:noWrap/>
            <w:vAlign w:val="center"/>
          </w:tcPr>
          <w:p>
            <w:pPr>
              <w:autoSpaceDE w:val="0"/>
              <w:autoSpaceDN w:val="0"/>
              <w:adjustRightInd w:val="0"/>
              <w:jc w:val="center"/>
              <w:rPr>
                <w:rFonts w:ascii="Times New Roman" w:hAnsi="Times New Roman" w:eastAsia="楷体" w:cs="Times New Roman"/>
                <w:color w:val="000000"/>
                <w:kern w:val="0"/>
                <w:sz w:val="20"/>
              </w:rPr>
            </w:pPr>
            <w:r>
              <w:rPr>
                <w:rFonts w:ascii="Times New Roman" w:hAnsi="Times New Roman" w:eastAsia="楷体" w:cs="Times New Roman"/>
                <w:color w:val="000000"/>
                <w:kern w:val="0"/>
                <w:sz w:val="20"/>
              </w:rPr>
              <w:t>2016</w:t>
            </w:r>
          </w:p>
        </w:tc>
      </w:tr>
    </w:tbl>
    <w:p>
      <w:pPr>
        <w:spacing w:line="360" w:lineRule="auto"/>
        <w:jc w:val="center"/>
        <w:rPr>
          <w:rFonts w:ascii="楷体" w:hAnsi="楷体" w:eastAsia="楷体"/>
          <w:sz w:val="24"/>
          <w:szCs w:val="24"/>
        </w:rPr>
      </w:pPr>
      <w:r>
        <w:drawing>
          <wp:inline distT="0" distB="0" distL="0" distR="0">
            <wp:extent cx="2302510" cy="3110230"/>
            <wp:effectExtent l="0" t="0" r="254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pic:cNvPicPr>
                      <a:picLocks noChangeAspect="1"/>
                    </pic:cNvPicPr>
                  </pic:nvPicPr>
                  <pic:blipFill>
                    <a:blip r:embed="rId18" cstate="print"/>
                    <a:stretch>
                      <a:fillRect/>
                    </a:stretch>
                  </pic:blipFill>
                  <pic:spPr>
                    <a:xfrm>
                      <a:off x="0" y="0"/>
                      <a:ext cx="2310127" cy="3120947"/>
                    </a:xfrm>
                    <a:prstGeom prst="rect">
                      <a:avLst/>
                    </a:prstGeom>
                  </pic:spPr>
                </pic:pic>
              </a:graphicData>
            </a:graphic>
          </wp:inline>
        </w:drawing>
      </w:r>
      <w:r>
        <w:rPr>
          <w:rFonts w:ascii="楷体" w:hAnsi="楷体" w:eastAsia="楷体"/>
          <w:sz w:val="24"/>
          <w:szCs w:val="24"/>
        </w:rPr>
        <w:drawing>
          <wp:inline distT="0" distB="0" distL="0" distR="0">
            <wp:extent cx="2266950" cy="3113405"/>
            <wp:effectExtent l="0" t="0" r="0" b="0"/>
            <wp:docPr id="182" name="Picture 182" descr="E:\资源系相关工作\获奖证书\孙学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E:\资源系相关工作\获奖证书\孙学阳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73239" cy="3121953"/>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ascii="楷体" w:hAnsi="楷体" w:eastAsia="楷体"/>
          <w:sz w:val="24"/>
          <w:szCs w:val="24"/>
        </w:rPr>
        <w:drawing>
          <wp:inline distT="0" distB="0" distL="0" distR="0">
            <wp:extent cx="2245360" cy="3115945"/>
            <wp:effectExtent l="0" t="0" r="2540" b="8255"/>
            <wp:docPr id="184" name="Picture 184" descr="E:\资源系相关工作\获奖证书\薛喜成获奖(1)\薛喜成获奖\省级教学成果特等奖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E:\资源系相关工作\获奖证书\薛喜成获奖(1)\薛喜成获奖\省级教学成果特等奖2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41358" cy="3110112"/>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楷体" w:hAnsi="楷体" w:eastAsia="楷体"/>
          <w:sz w:val="24"/>
          <w:szCs w:val="24"/>
        </w:rPr>
        <w:drawing>
          <wp:inline distT="0" distB="0" distL="0" distR="0">
            <wp:extent cx="2229485" cy="3195955"/>
            <wp:effectExtent l="0" t="0" r="0" b="4445"/>
            <wp:docPr id="192" name="Picture 192" descr="E:\资源系相关工作\获奖证书\侯恩科教学成果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E:\资源系相关工作\获奖证书\侯恩科教学成果奖.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27760" cy="3192963"/>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ascii="楷体" w:hAnsi="楷体" w:eastAsia="楷体"/>
          <w:sz w:val="24"/>
          <w:szCs w:val="24"/>
        </w:rPr>
        <w:drawing>
          <wp:inline distT="0" distB="0" distL="0" distR="0">
            <wp:extent cx="3009900" cy="2183130"/>
            <wp:effectExtent l="0" t="0" r="0" b="7620"/>
            <wp:docPr id="193" name="Picture 193" descr="E:\资源系相关工作\获奖证书\薛喜成获奖(1)\薛喜成获奖\国家级教学成果二等奖2014-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E:\资源系相关工作\获奖证书\薛喜成获奖(1)\薛喜成获奖\国家级教学成果二等奖2014-大.jpg"/>
                    <pic:cNvPicPr>
                      <a:picLocks noChangeAspect="1" noChangeArrowheads="1"/>
                    </pic:cNvPicPr>
                  </pic:nvPicPr>
                  <pic:blipFill>
                    <a:blip r:embed="rId22" cstate="print">
                      <a:extLst>
                        <a:ext uri="{28A0092B-C50C-407E-A947-70E740481C1C}">
                          <a14:useLocalDpi xmlns:a14="http://schemas.microsoft.com/office/drawing/2010/main" val="0"/>
                        </a:ext>
                      </a:extLst>
                    </a:blip>
                    <a:srcRect t="3305"/>
                    <a:stretch>
                      <a:fillRect/>
                    </a:stretch>
                  </pic:blipFill>
                  <pic:spPr>
                    <a:xfrm>
                      <a:off x="0" y="0"/>
                      <a:ext cx="3010216" cy="2183363"/>
                    </a:xfrm>
                    <a:prstGeom prst="rect">
                      <a:avLst/>
                    </a:prstGeom>
                    <a:noFill/>
                    <a:ln>
                      <a:noFill/>
                    </a:ln>
                  </pic:spPr>
                </pic:pic>
              </a:graphicData>
            </a:graphic>
          </wp:inline>
        </w:drawing>
      </w:r>
    </w:p>
    <w:p>
      <w:pPr>
        <w:jc w:val="center"/>
        <w:rPr>
          <w:rFonts w:ascii="楷体" w:hAnsi="楷体" w:eastAsia="楷体"/>
          <w:b/>
          <w:sz w:val="28"/>
          <w:szCs w:val="28"/>
        </w:rPr>
      </w:pPr>
      <w:r>
        <w:rPr>
          <w:rFonts w:hint="eastAsia" w:ascii="楷体" w:hAnsi="楷体" w:eastAsia="楷体"/>
          <w:b/>
          <w:sz w:val="28"/>
          <w:szCs w:val="28"/>
        </w:rPr>
        <w:t>师资队伍</w:t>
      </w:r>
    </w:p>
    <w:p>
      <w:pPr>
        <w:widowControl/>
        <w:adjustRightInd w:val="0"/>
        <w:snapToGrid w:val="0"/>
        <w:spacing w:line="300" w:lineRule="auto"/>
        <w:ind w:firstLine="480" w:firstLineChars="200"/>
        <w:rPr>
          <w:rFonts w:ascii="楷体" w:hAnsi="楷体" w:eastAsia="楷体"/>
          <w:sz w:val="24"/>
          <w:szCs w:val="24"/>
        </w:rPr>
      </w:pPr>
      <w:r>
        <w:rPr>
          <w:rFonts w:hint="eastAsia" w:ascii="楷体" w:hAnsi="楷体" w:eastAsia="楷体"/>
          <w:sz w:val="24"/>
          <w:szCs w:val="24"/>
        </w:rPr>
        <w:t>专业形成了一支由中国工程院院士、省级教学名师、著名专家教授及优秀青年博士组成的师资队伍。全体教师以师德建设为核心，团结协作、爱岗敬业，形成了一支师资队伍人员充足、</w:t>
      </w:r>
      <w:r>
        <w:rPr>
          <w:rFonts w:ascii="楷体" w:hAnsi="楷体" w:eastAsia="楷体"/>
          <w:sz w:val="24"/>
          <w:szCs w:val="24"/>
        </w:rPr>
        <w:t>梯队层次</w:t>
      </w:r>
      <w:r>
        <w:rPr>
          <w:rFonts w:hint="eastAsia" w:ascii="楷体" w:hAnsi="楷体" w:eastAsia="楷体"/>
          <w:sz w:val="24"/>
          <w:szCs w:val="24"/>
        </w:rPr>
        <w:t>和学缘分布科学合理、教学</w:t>
      </w:r>
      <w:r>
        <w:rPr>
          <w:rFonts w:ascii="楷体" w:hAnsi="楷体" w:eastAsia="楷体"/>
          <w:sz w:val="24"/>
          <w:szCs w:val="24"/>
        </w:rPr>
        <w:t>水平过硬</w:t>
      </w:r>
      <w:r>
        <w:rPr>
          <w:rFonts w:hint="eastAsia" w:ascii="楷体" w:hAnsi="楷体" w:eastAsia="楷体"/>
          <w:sz w:val="24"/>
          <w:szCs w:val="24"/>
        </w:rPr>
        <w:t>、创新素质和工程实践能力强的教学团队。此外通过校企联合吸引了大批企业专家与高水平工程技术人员组成相对固定的兼职实践教学队伍，在实训基地、培训中心、教学课堂直接参与实验教学。</w:t>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drawing>
          <wp:inline distT="0" distB="0" distL="0" distR="0">
            <wp:extent cx="1439545" cy="1819275"/>
            <wp:effectExtent l="0" t="0" r="8255" b="9525"/>
            <wp:docPr id="196" name="Picture 196" descr="C:\Users\DELL\Documents\Tencent Files\381455597\FileRecv\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Users\DELL\Documents\Tencent Files\381455597\FileRecv\图片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40000" cy="1819871"/>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中国工程院院士 王双明教授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王双明，陕西岐山人，中国工程院院士，西安科技大学教授，博士生导师，长期从事西部生态脆弱区保水采煤理论与工程应用工作。李四光地质科学奖获得者，1992年起享受国务院政府特殊津贴。1977年毕业于西安矿业学院地质系，1983年毕业于武汉地质学院北京研究生部煤田地质专业，获硕士学位。现任中国煤炭工业技术委员会煤田地质专家委员会副主任，陕西省煤炭学会理事长，西安科技大学学术委员会主任、西安科技大学煤炭绿色开采地质研究院院长。致力于鄂尔多斯盆地煤炭地质勘查与矿区地质环境保护关键技术研究与创新30多年，在找煤、勘探、采煤保水三个方面取得了创新性地质成果。  </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先后获国家科学技术进步二等奖3项，省部级科学技术进步一等奖6项。2017年当选中国工程院能源与矿业工程学部院士。</w:t>
      </w:r>
    </w:p>
    <w:p>
      <w:pPr>
        <w:spacing w:line="360" w:lineRule="auto"/>
        <w:ind w:firstLine="420" w:firstLineChars="200"/>
        <w:jc w:val="center"/>
        <w:rPr>
          <w:rFonts w:ascii="楷体" w:hAnsi="楷体" w:eastAsia="楷体"/>
          <w:sz w:val="24"/>
          <w:szCs w:val="24"/>
        </w:rPr>
      </w:pPr>
      <w:r>
        <w:rPr>
          <w:color w:val="666666"/>
        </w:rPr>
        <w:drawing>
          <wp:inline distT="0" distB="0" distL="0" distR="0">
            <wp:extent cx="1439545" cy="2056130"/>
            <wp:effectExtent l="0" t="0" r="8255" b="1270"/>
            <wp:docPr id="197" name="undefined" descr="https://www.xust.edu.cn/__local/A/AC/0D/5EAE5F50DDA9C253B8DE8996E74_B68700A0_79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undefined" descr="https://www.xust.edu.cn/__local/A/AC/0D/5EAE5F50DDA9C253B8DE8996E74_B68700A0_791B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0000" cy="2056694"/>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陕西省师德先进个人 侯恩科教授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侯恩科，男，1963年11月生，教授、博士生导师。现任西安科技大学研究生院常务副院长、地质资源与地质工程一级学科带头人、煤炭地质理论与方法科技创新团队带头人，兼任中国煤炭工业技术委员会委员、中国煤炭协会煤田地质专家委员会委员、中国地质学会和中国煤炭学会煤田地质专业委员会委员、中国煤炭工业安全科学技术学会水害防治专业委员会委员、陕西省煤炭学会常务理事。 </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主要从事矿井水害防治、煤田地质与矿井地质、地学信息技术及其地质应用等方面的教学与科研工作。先后主持国家自然科学基金面上项目3项、国家油气专项二级子课题1项、陕西省社会发展攻关项目2项及企业科研项目多项。出版教材、专著6部，发表论文150余篇。获国家科技进步二等奖1项、省部级科技一等奖4项、二等奖5项和三等奖3项，获省部级优秀教学成果特等奖1项，二等奖1项。获中国地质学会第六届青年地质科技银锤奖及“陕西省高校优秀青年教师标兵”和“陕西省师德先进个人”称号。</w:t>
      </w:r>
    </w:p>
    <w:p>
      <w:pPr>
        <w:spacing w:line="360" w:lineRule="auto"/>
        <w:ind w:firstLine="420" w:firstLineChars="200"/>
        <w:jc w:val="center"/>
        <w:rPr>
          <w:rFonts w:ascii="楷体" w:hAnsi="楷体" w:eastAsia="楷体"/>
          <w:sz w:val="24"/>
          <w:szCs w:val="24"/>
        </w:rPr>
      </w:pPr>
      <w:r>
        <w:rPr>
          <w:color w:val="666666"/>
        </w:rPr>
        <w:drawing>
          <wp:inline distT="0" distB="0" distL="0" distR="0">
            <wp:extent cx="1439545" cy="2053590"/>
            <wp:effectExtent l="0" t="0" r="8255" b="3810"/>
            <wp:docPr id="198" name="A4C80" descr="https://www.xust.edu.cn/__local/4/65/52/5B3BBA64ED852E21A54FF9EF4F1_D73411F9_A4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4C80" descr="https://www.xust.edu.cn/__local/4/65/52/5B3BBA64ED852E21A54FF9EF4F1_D73411F9_A4C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40000" cy="2053849"/>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陕西省教学名师 夏玉成教授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夏玉成，男，1957年1月生，教授，博士生导师，陕西省教学名师。现任西安科技大学地质资源与地质工程博士后科研流动站站长。         </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主要从事煤田地质、构造地质、计算机地质及煤矿区生态环境保护等领域的教学科研工作。主持完成国家自然科学基金项目、科技部国际合作项目、陕西省自然科学基金项目以及煤炭企业委托项目20余项。在“中国构造控煤机理研究”方面“填补了国内空白”，提出了“构造控灾”理论框架及煤矿区地质环境承载能力评价技术体系。</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获省部级科学技术进步奖一等奖、二等奖各2项；陕西省煤炭工业科技成果一等奖、二等奖各1项；陕西高等学校科学技术奖二等奖、三等奖各2项；全国煤炭教育优秀研究成果一等奖2项；陕西省教学成果奖一等奖2项、二等奖1项。    </w:t>
      </w:r>
    </w:p>
    <w:p>
      <w:pPr>
        <w:spacing w:line="360" w:lineRule="auto"/>
        <w:ind w:firstLine="420" w:firstLineChars="200"/>
        <w:jc w:val="center"/>
        <w:rPr>
          <w:rFonts w:ascii="楷体" w:hAnsi="楷体" w:eastAsia="楷体"/>
          <w:sz w:val="24"/>
          <w:szCs w:val="24"/>
        </w:rPr>
      </w:pPr>
      <w:r>
        <w:drawing>
          <wp:inline distT="0" distB="0" distL="0" distR="0">
            <wp:extent cx="2962275" cy="2022475"/>
            <wp:effectExtent l="0" t="0" r="0" b="0"/>
            <wp:docPr id="10" name="图片 10" descr="https://jxjyxy.xust.edu.cn/__local/4/4A/0B/3202F51E0739CE8BBC1DB9B123C_DD267164_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jxjyxy.xust.edu.cn/__local/4/4A/0B/3202F51E0739CE8BBC1DB9B123C_DD267164_13841.jpg"/>
                    <pic:cNvPicPr>
                      <a:picLocks noChangeAspect="1" noChangeArrowheads="1"/>
                    </pic:cNvPicPr>
                  </pic:nvPicPr>
                  <pic:blipFill>
                    <a:blip r:embed="rId26" cstate="print">
                      <a:extLst>
                        <a:ext uri="{28A0092B-C50C-407E-A947-70E740481C1C}">
                          <a14:useLocalDpi xmlns:a14="http://schemas.microsoft.com/office/drawing/2010/main" val="0"/>
                        </a:ext>
                      </a:extLst>
                    </a:blip>
                    <a:srcRect l="11429" t="24324" r="15357"/>
                    <a:stretch>
                      <a:fillRect/>
                    </a:stretch>
                  </pic:blipFill>
                  <pic:spPr>
                    <a:xfrm>
                      <a:off x="0" y="0"/>
                      <a:ext cx="2977004" cy="2033076"/>
                    </a:xfrm>
                    <a:prstGeom prst="rect">
                      <a:avLst/>
                    </a:prstGeom>
                    <a:noFill/>
                    <a:ln>
                      <a:noFill/>
                    </a:ln>
                  </pic:spPr>
                </pic:pic>
              </a:graphicData>
            </a:graphic>
          </wp:inline>
        </w:drawing>
      </w:r>
    </w:p>
    <w:p>
      <w:pPr>
        <w:spacing w:line="360" w:lineRule="auto"/>
        <w:ind w:firstLine="480" w:firstLineChars="200"/>
        <w:rPr>
          <w:rFonts w:ascii="楷体" w:hAnsi="楷体" w:eastAsia="楷体"/>
          <w:sz w:val="24"/>
          <w:szCs w:val="24"/>
        </w:rPr>
      </w:pPr>
      <w:r>
        <w:rPr>
          <w:rFonts w:hint="eastAsia" w:ascii="楷体" w:hAnsi="楷体" w:eastAsia="楷体"/>
          <w:sz w:val="24"/>
          <w:szCs w:val="24"/>
        </w:rPr>
        <w:t>代革联，男，汉族，1968年生，硕士，教授，硕士生导师，西安科技大学继续教育学院院长兼党委书记，主要从事矿井水害防治、煤田地质、煤矿区生态环境保护、矿山土地恢复与治理等领域的科研工作。</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主持完成国家自然科学基金项目2项、科技部国际科技合作专项项目1项、陕西省自然科学基金项目2项以及煤炭企业委托项目百余项；出版专著1部，教材3部；获教学成果奖1项，科技奖1项；发表论文10余篇，获得专利2项。</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 </w:t>
      </w:r>
    </w:p>
    <w:p>
      <w:pPr>
        <w:jc w:val="center"/>
        <w:rPr>
          <w:rFonts w:ascii="楷体" w:hAnsi="楷体" w:eastAsia="楷体"/>
          <w:b/>
          <w:sz w:val="28"/>
          <w:szCs w:val="28"/>
        </w:rPr>
      </w:pPr>
      <w:r>
        <w:rPr>
          <w:rFonts w:hint="eastAsia" w:ascii="楷体" w:hAnsi="楷体" w:eastAsia="楷体"/>
          <w:b/>
          <w:sz w:val="28"/>
          <w:szCs w:val="28"/>
        </w:rPr>
        <w:t>心声寄语</w:t>
      </w:r>
    </w:p>
    <w:p>
      <w:pPr>
        <w:pStyle w:val="12"/>
        <w:numPr>
          <w:ilvl w:val="0"/>
          <w:numId w:val="3"/>
        </w:numPr>
        <w:spacing w:line="360" w:lineRule="auto"/>
        <w:ind w:firstLineChars="0"/>
        <w:jc w:val="left"/>
        <w:rPr>
          <w:rFonts w:ascii="楷体" w:hAnsi="楷体" w:eastAsia="楷体"/>
          <w:b/>
          <w:sz w:val="24"/>
          <w:szCs w:val="24"/>
        </w:rPr>
      </w:pPr>
      <w:r>
        <w:rPr>
          <w:rFonts w:hint="eastAsia" w:ascii="楷体" w:hAnsi="楷体" w:eastAsia="楷体"/>
          <w:b/>
          <w:sz w:val="24"/>
          <w:szCs w:val="24"/>
        </w:rPr>
        <w:t>院士嘱托：</w:t>
      </w:r>
    </w:p>
    <w:p>
      <w:pPr>
        <w:spacing w:line="360" w:lineRule="auto"/>
        <w:ind w:firstLine="420" w:firstLineChars="200"/>
        <w:jc w:val="center"/>
        <w:rPr>
          <w:rFonts w:ascii="楷体" w:hAnsi="楷体" w:eastAsia="楷体"/>
          <w:sz w:val="24"/>
          <w:szCs w:val="24"/>
        </w:rPr>
      </w:pPr>
      <w:r>
        <w:drawing>
          <wp:inline distT="0" distB="0" distL="0" distR="0">
            <wp:extent cx="2873375" cy="1936115"/>
            <wp:effectExtent l="0" t="0" r="3175" b="6985"/>
            <wp:docPr id="201" name="Picture 201" descr="https://timgsa.baidu.com/timg?image&amp;quality=80&amp;size=b9999_10000&amp;sec=1585394567478&amp;di=5398fa88a743327df89f42bcb41d8a66&amp;imgtype=0&amp;src=http%3A%2F%2Fwww.smj168.com%2F_mediafile%2Fylxy2018%2F2018%2F10%2F23%2F36rlp0al3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https://timgsa.baidu.com/timg?image&amp;quality=80&amp;size=b9999_10000&amp;sec=1585394567478&amp;di=5398fa88a743327df89f42bcb41d8a66&amp;imgtype=0&amp;src=http%3A%2F%2Fwww.smj168.com%2F_mediafile%2Fylxy2018%2F2018%2F10%2F23%2F36rlp0al3j.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2689" cy="1935467"/>
                    </a:xfrm>
                    <a:prstGeom prst="rect">
                      <a:avLst/>
                    </a:prstGeom>
                    <a:noFill/>
                    <a:ln>
                      <a:noFill/>
                    </a:ln>
                  </pic:spPr>
                </pic:pic>
              </a:graphicData>
            </a:graphic>
          </wp:inline>
        </w:drawing>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中国工程院院士 王双明教授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开发西部煤炭是保障国家能源安全的重大需求，实现煤炭开采与生态环境保护的协调发展，是西部煤炭工业高质量发展必须破解的重大技术问题，也是未来水文地质人才进行保水采煤、矿井水害防治所面临的的重大使命。望有志青年加入西安科技大学地下水科学与工程专业，共同完成这一使命。</w:t>
      </w:r>
    </w:p>
    <w:p>
      <w:pPr>
        <w:pStyle w:val="12"/>
        <w:numPr>
          <w:ilvl w:val="0"/>
          <w:numId w:val="3"/>
        </w:numPr>
        <w:spacing w:line="360" w:lineRule="auto"/>
        <w:ind w:firstLineChars="0"/>
        <w:jc w:val="left"/>
        <w:rPr>
          <w:rFonts w:ascii="楷体" w:hAnsi="楷体" w:eastAsia="楷体"/>
          <w:b/>
          <w:sz w:val="24"/>
          <w:szCs w:val="24"/>
        </w:rPr>
      </w:pPr>
      <w:r>
        <w:rPr>
          <w:rFonts w:hint="eastAsia" w:ascii="楷体" w:hAnsi="楷体" w:eastAsia="楷体"/>
          <w:b/>
          <w:sz w:val="24"/>
          <w:szCs w:val="24"/>
        </w:rPr>
        <w:t>院长有话说：</w:t>
      </w:r>
    </w:p>
    <w:p>
      <w:pPr>
        <w:spacing w:line="360" w:lineRule="auto"/>
        <w:jc w:val="center"/>
        <w:rPr>
          <w:rFonts w:ascii="楷体" w:hAnsi="楷体" w:eastAsia="楷体"/>
          <w:sz w:val="24"/>
          <w:szCs w:val="24"/>
        </w:rPr>
      </w:pPr>
      <w:r>
        <w:drawing>
          <wp:inline distT="0" distB="0" distL="0" distR="0">
            <wp:extent cx="1725930" cy="2360295"/>
            <wp:effectExtent l="0" t="0" r="7620" b="1905"/>
            <wp:docPr id="202" name="Picture 202" descr="https://timgsa.baidu.com/timg?image&amp;quality=80&amp;size=b9999_10000&amp;sec=1585394787650&amp;di=dc6b3c4c807d4a8c1f9618a75c1644fa&amp;imgtype=0&amp;src=http%3A%2F%2Fimg4.imgtn.bdimg.com%2Fit%2Fu%3D2041833369%2C303826505%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https://timgsa.baidu.com/timg?image&amp;quality=80&amp;size=b9999_10000&amp;sec=1585394787650&amp;di=dc6b3c4c807d4a8c1f9618a75c1644fa&amp;imgtype=0&amp;src=http%3A%2F%2Fimg4.imgtn.bdimg.com%2Fit%2Fu%3D2041833369%2C303826505%26fm%3D214%26gp%3D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26196" cy="2360803"/>
                    </a:xfrm>
                    <a:prstGeom prst="rect">
                      <a:avLst/>
                    </a:prstGeom>
                    <a:noFill/>
                    <a:ln>
                      <a:noFill/>
                    </a:ln>
                  </pic:spPr>
                </pic:pic>
              </a:graphicData>
            </a:graphic>
          </wp:inline>
        </w:drawing>
      </w:r>
    </w:p>
    <w:p>
      <w:pPr>
        <w:spacing w:line="360" w:lineRule="auto"/>
        <w:jc w:val="center"/>
        <w:rPr>
          <w:rFonts w:ascii="楷体" w:hAnsi="楷体" w:eastAsia="楷体"/>
          <w:sz w:val="24"/>
          <w:szCs w:val="24"/>
        </w:rPr>
      </w:pPr>
      <w:r>
        <w:rPr>
          <w:rFonts w:hint="eastAsia" w:ascii="楷体" w:hAnsi="楷体" w:eastAsia="楷体"/>
          <w:sz w:val="24"/>
          <w:szCs w:val="24"/>
        </w:rPr>
        <w:t>地质与环境学院院长 王生全教授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亲爱的同学们：</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在国家实施创新驱动发展、“一带一路”、“生态强国”，“深地探测、深海探测、深空对地观测、土地科技创新”等重大发展战略大背景下，新的水文地质行业将以“保护水资源”理念为核心，致力于水资源的综合利用、地下水环境保护，致力于水文地质勘查、地下水灾害的预警与防治，促进美好地球家园的建设。</w:t>
      </w:r>
    </w:p>
    <w:p>
      <w:pPr>
        <w:spacing w:line="360" w:lineRule="auto"/>
        <w:ind w:firstLine="480" w:firstLineChars="200"/>
        <w:rPr>
          <w:rFonts w:ascii="楷体" w:hAnsi="楷体" w:eastAsia="楷体"/>
          <w:sz w:val="24"/>
          <w:szCs w:val="24"/>
        </w:rPr>
      </w:pPr>
      <w:r>
        <w:rPr>
          <w:rFonts w:hint="eastAsia" w:ascii="楷体" w:hAnsi="楷体" w:eastAsia="楷体"/>
          <w:sz w:val="24"/>
          <w:szCs w:val="24"/>
        </w:rPr>
        <w:t>西安科技大学地下水科学与工程专业历史悠久，专业底蕴深厚，特色鲜明，拥有本科、硕士、博士、博士后完整的人才培养体系，致力于新时代水文地质工程勘查、水资源评价、矿井水害防治及保水采煤等方向，为社会输送了一批有一批的优秀人才。本专业拥有一批包括中国工程院院士、著名专家教授在内的高水平师资队伍和各种教学科研平台，教学科研实力雄厚，不仅培养学生的专业知识，更注重素质、实践和创新能力的综合培养。</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欢迎你加入这个大家庭，这里的学术氛围、学习平台、教师队伍终将成为你人生飞跃的新起点和新保障。</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金秋九月西科大见！</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                                       院长：王生全</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                                        2020.03.28</w:t>
      </w:r>
    </w:p>
    <w:p>
      <w:pPr>
        <w:pStyle w:val="12"/>
        <w:numPr>
          <w:ilvl w:val="0"/>
          <w:numId w:val="3"/>
        </w:numPr>
        <w:spacing w:line="360" w:lineRule="auto"/>
        <w:ind w:firstLineChars="0"/>
        <w:jc w:val="left"/>
        <w:rPr>
          <w:rFonts w:ascii="楷体" w:hAnsi="楷体" w:eastAsia="楷体"/>
          <w:b/>
          <w:sz w:val="24"/>
          <w:szCs w:val="24"/>
        </w:rPr>
      </w:pPr>
      <w:r>
        <w:rPr>
          <w:rFonts w:hint="eastAsia" w:ascii="楷体" w:hAnsi="楷体" w:eastAsia="楷体"/>
          <w:b/>
          <w:sz w:val="24"/>
          <w:szCs w:val="24"/>
        </w:rPr>
        <w:t>教师寄语：</w:t>
      </w:r>
    </w:p>
    <w:p>
      <w:pPr>
        <w:spacing w:line="360" w:lineRule="auto"/>
        <w:ind w:firstLine="480" w:firstLineChars="200"/>
        <w:jc w:val="center"/>
        <w:rPr>
          <w:rFonts w:ascii="楷体" w:hAnsi="楷体" w:eastAsia="楷体"/>
          <w:sz w:val="24"/>
          <w:szCs w:val="24"/>
        </w:rPr>
      </w:pPr>
      <w:r>
        <w:rPr>
          <w:rFonts w:ascii="楷体" w:hAnsi="楷体" w:eastAsia="楷体"/>
          <w:sz w:val="24"/>
          <w:szCs w:val="24"/>
        </w:rPr>
        <w:drawing>
          <wp:inline distT="0" distB="0" distL="0" distR="0">
            <wp:extent cx="1526540" cy="2035175"/>
            <wp:effectExtent l="0" t="0" r="0" b="3175"/>
            <wp:docPr id="209" name="Picture 209" descr="C:\Users\DELL\Desktop\QQ图片2020032818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Users\DELL\Desktop\QQ图片202003281843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6269" cy="2034438"/>
                    </a:xfrm>
                    <a:prstGeom prst="rect">
                      <a:avLst/>
                    </a:prstGeom>
                    <a:noFill/>
                    <a:ln>
                      <a:noFill/>
                    </a:ln>
                  </pic:spPr>
                </pic:pic>
              </a:graphicData>
            </a:graphic>
          </wp:inline>
        </w:drawing>
      </w:r>
    </w:p>
    <w:p>
      <w:pPr>
        <w:spacing w:line="360" w:lineRule="auto"/>
        <w:rPr>
          <w:rFonts w:ascii="楷体" w:hAnsi="楷体" w:eastAsia="楷体"/>
          <w:sz w:val="24"/>
          <w:szCs w:val="24"/>
        </w:rPr>
      </w:pPr>
      <w:r>
        <w:rPr>
          <w:rFonts w:hint="eastAsia" w:ascii="楷体" w:hAnsi="楷体" w:eastAsia="楷体"/>
          <w:sz w:val="24"/>
          <w:szCs w:val="24"/>
        </w:rPr>
        <w:t>地质资源与地质工程一级学科带头人/地下水科学与工程专业负责人 侯恩科教授</w:t>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地下水科学与工程专业以新时代工科发展对人才的多样化需求为导向，以地下水绿色勘查、综合评价人才培养为目标，逐渐将“互联网+”、大数据、智能化等新技术进行融入到教学内容，科学构建通识教育、专业教育、创新创业教育相结合的课程体系。进一步完善水文地质基础课重学科交叉，专业课重知识层次递进、创新创业课程重科技前沿的课程学习理念，将创新创业教育与专业教育深度融合，切实提高人才培养的目标达成度、社会适应度和结果满意度。</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新形势下地下水资源的绿色勘查和综合利用转型期，地下水科学与工程专业迎来重大发展契机，欢迎同学们报考本专业，成为新时代水文地质人的优秀一员。</w:t>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p>
    <w:p>
      <w:pPr>
        <w:spacing w:line="360" w:lineRule="auto"/>
        <w:ind w:firstLine="480" w:firstLineChars="200"/>
        <w:rPr>
          <w:rFonts w:hint="eastAsia" w:ascii="楷体" w:hAnsi="楷体" w:eastAsia="楷体"/>
          <w:sz w:val="24"/>
          <w:szCs w:val="24"/>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67731"/>
    <w:multiLevelType w:val="multilevel"/>
    <w:tmpl w:val="4666773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F1B0481"/>
    <w:multiLevelType w:val="multilevel"/>
    <w:tmpl w:val="4F1B04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B69702B"/>
    <w:multiLevelType w:val="multilevel"/>
    <w:tmpl w:val="6B69702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DCC"/>
    <w:rsid w:val="00040FA5"/>
    <w:rsid w:val="00052EA6"/>
    <w:rsid w:val="000643A3"/>
    <w:rsid w:val="00073B84"/>
    <w:rsid w:val="00080A2C"/>
    <w:rsid w:val="000B7B2D"/>
    <w:rsid w:val="000C7916"/>
    <w:rsid w:val="00144284"/>
    <w:rsid w:val="001442DB"/>
    <w:rsid w:val="00153447"/>
    <w:rsid w:val="001815AA"/>
    <w:rsid w:val="001D530A"/>
    <w:rsid w:val="001D58B6"/>
    <w:rsid w:val="001F0F73"/>
    <w:rsid w:val="001F6E1C"/>
    <w:rsid w:val="00243A8A"/>
    <w:rsid w:val="002471A1"/>
    <w:rsid w:val="002652AE"/>
    <w:rsid w:val="002664B2"/>
    <w:rsid w:val="00281221"/>
    <w:rsid w:val="00287065"/>
    <w:rsid w:val="002A2F1E"/>
    <w:rsid w:val="002F4C11"/>
    <w:rsid w:val="00332467"/>
    <w:rsid w:val="00386646"/>
    <w:rsid w:val="003A77E6"/>
    <w:rsid w:val="003E1DA7"/>
    <w:rsid w:val="003F1D85"/>
    <w:rsid w:val="004813A4"/>
    <w:rsid w:val="004E1EB8"/>
    <w:rsid w:val="00561DF8"/>
    <w:rsid w:val="00581959"/>
    <w:rsid w:val="005A7215"/>
    <w:rsid w:val="005B1E6A"/>
    <w:rsid w:val="005E3952"/>
    <w:rsid w:val="00620178"/>
    <w:rsid w:val="006466D6"/>
    <w:rsid w:val="00647A15"/>
    <w:rsid w:val="006508CF"/>
    <w:rsid w:val="00684E5D"/>
    <w:rsid w:val="00693756"/>
    <w:rsid w:val="006A4198"/>
    <w:rsid w:val="006B5CEA"/>
    <w:rsid w:val="006F04BF"/>
    <w:rsid w:val="007208C7"/>
    <w:rsid w:val="00747DCC"/>
    <w:rsid w:val="007531DC"/>
    <w:rsid w:val="007A01BD"/>
    <w:rsid w:val="007A7163"/>
    <w:rsid w:val="007E3BC8"/>
    <w:rsid w:val="007E54DA"/>
    <w:rsid w:val="007F0A9C"/>
    <w:rsid w:val="008266C4"/>
    <w:rsid w:val="0085400B"/>
    <w:rsid w:val="00881D80"/>
    <w:rsid w:val="00886F99"/>
    <w:rsid w:val="008B120E"/>
    <w:rsid w:val="008C7E13"/>
    <w:rsid w:val="008E4523"/>
    <w:rsid w:val="008F3A68"/>
    <w:rsid w:val="009157C5"/>
    <w:rsid w:val="00937436"/>
    <w:rsid w:val="00945866"/>
    <w:rsid w:val="00963D9F"/>
    <w:rsid w:val="00984B08"/>
    <w:rsid w:val="009A4E2C"/>
    <w:rsid w:val="009F53C6"/>
    <w:rsid w:val="00A21250"/>
    <w:rsid w:val="00AA06E4"/>
    <w:rsid w:val="00AA0961"/>
    <w:rsid w:val="00AC24C1"/>
    <w:rsid w:val="00AD3A7F"/>
    <w:rsid w:val="00B53DFF"/>
    <w:rsid w:val="00B97F7D"/>
    <w:rsid w:val="00BA6263"/>
    <w:rsid w:val="00BB5F0E"/>
    <w:rsid w:val="00C21F6D"/>
    <w:rsid w:val="00C24481"/>
    <w:rsid w:val="00C859C6"/>
    <w:rsid w:val="00CA1A4B"/>
    <w:rsid w:val="00CE7729"/>
    <w:rsid w:val="00CF7CAD"/>
    <w:rsid w:val="00D52B72"/>
    <w:rsid w:val="00D566B1"/>
    <w:rsid w:val="00D65818"/>
    <w:rsid w:val="00D81E18"/>
    <w:rsid w:val="00DE09BC"/>
    <w:rsid w:val="00E1392B"/>
    <w:rsid w:val="00E206BA"/>
    <w:rsid w:val="00E72C0D"/>
    <w:rsid w:val="00E82978"/>
    <w:rsid w:val="00EA3008"/>
    <w:rsid w:val="00EB3A4A"/>
    <w:rsid w:val="00EC51E5"/>
    <w:rsid w:val="00EE38BB"/>
    <w:rsid w:val="00F6114A"/>
    <w:rsid w:val="00F94BFA"/>
    <w:rsid w:val="00FC1590"/>
    <w:rsid w:val="00FE0FF8"/>
    <w:rsid w:val="1F582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3"/>
    <w:semiHidden/>
    <w:unhideWhenUsed/>
    <w:uiPriority w:val="99"/>
    <w:rPr>
      <w:sz w:val="16"/>
      <w:szCs w:val="16"/>
    </w:rPr>
  </w:style>
  <w:style w:type="paragraph" w:styleId="4">
    <w:name w:val="footer"/>
    <w:basedOn w:val="1"/>
    <w:link w:val="15"/>
    <w:unhideWhenUsed/>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7"/>
    <w:semiHidden/>
    <w:unhideWhenUsed/>
    <w:uiPriority w:val="99"/>
    <w:rPr>
      <w:b/>
      <w:bCs/>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99"/>
    <w:rPr>
      <w:sz w:val="21"/>
      <w:szCs w:val="21"/>
    </w:rPr>
  </w:style>
  <w:style w:type="paragraph" w:styleId="12">
    <w:name w:val="List Paragraph"/>
    <w:basedOn w:val="1"/>
    <w:qFormat/>
    <w:uiPriority w:val="34"/>
    <w:pPr>
      <w:ind w:firstLine="420" w:firstLineChars="200"/>
    </w:pPr>
  </w:style>
  <w:style w:type="character" w:customStyle="1" w:styleId="13">
    <w:name w:val="批注框文本 字符"/>
    <w:basedOn w:val="10"/>
    <w:link w:val="3"/>
    <w:semiHidden/>
    <w:uiPriority w:val="99"/>
    <w:rPr>
      <w:sz w:val="16"/>
      <w:szCs w:val="16"/>
    </w:rPr>
  </w:style>
  <w:style w:type="character" w:customStyle="1" w:styleId="14">
    <w:name w:val="页眉 字符"/>
    <w:basedOn w:val="10"/>
    <w:link w:val="5"/>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批注文字 字符"/>
    <w:basedOn w:val="10"/>
    <w:link w:val="2"/>
    <w:semiHidden/>
    <w:uiPriority w:val="99"/>
  </w:style>
  <w:style w:type="character" w:customStyle="1" w:styleId="17">
    <w:name w:val="批注主题 字符"/>
    <w:basedOn w:val="16"/>
    <w:link w:val="7"/>
    <w:semiHidden/>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690</Words>
  <Characters>3939</Characters>
  <Lines>32</Lines>
  <Paragraphs>9</Paragraphs>
  <TotalTime>0</TotalTime>
  <ScaleCrop>false</ScaleCrop>
  <LinksUpToDate>false</LinksUpToDate>
  <CharactersWithSpaces>4620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2020-03-28T13:56:00Z</dcterms:created>
  <dc:creator>DELL</dc:creator>
  <cp:lastModifiedBy>Administrator</cp:lastModifiedBy>
  <dcterms:modified xsi:type="dcterms:W3CDTF">2020-04-02T14:10:33Z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